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24" w:rsidRPr="008C4250" w:rsidRDefault="008C4250" w:rsidP="003E6231">
      <w:pPr>
        <w:spacing w:after="0" w:line="240" w:lineRule="auto"/>
        <w:ind w:left="-90" w:firstLine="90"/>
        <w:jc w:val="right"/>
        <w:rPr>
          <w:rFonts w:ascii="Garamond" w:hAnsi="Garamond"/>
          <w:sz w:val="32"/>
          <w:szCs w:val="32"/>
        </w:rPr>
      </w:pPr>
      <w:r w:rsidRPr="008C4250">
        <w:rPr>
          <w:rFonts w:ascii="Garamond" w:hAnsi="Garamond"/>
          <w:sz w:val="32"/>
          <w:szCs w:val="32"/>
        </w:rPr>
        <w:t>University of Illinois at Urbana-Champaign</w:t>
      </w:r>
    </w:p>
    <w:p w:rsidR="008C4250" w:rsidRDefault="008C4250" w:rsidP="008C4250">
      <w:pPr>
        <w:spacing w:after="0" w:line="240" w:lineRule="auto"/>
        <w:jc w:val="right"/>
        <w:rPr>
          <w:rFonts w:ascii="Garamond" w:hAnsi="Garamond"/>
          <w:sz w:val="32"/>
          <w:szCs w:val="32"/>
        </w:rPr>
      </w:pPr>
      <w:r w:rsidRPr="008C4250">
        <w:rPr>
          <w:rFonts w:ascii="Garamond" w:hAnsi="Garamond"/>
          <w:sz w:val="32"/>
          <w:szCs w:val="32"/>
        </w:rPr>
        <w:t>Engineering Pathways Plan of Study</w:t>
      </w:r>
      <w:r w:rsidR="00DC7B96">
        <w:rPr>
          <w:rStyle w:val="FootnoteReference"/>
          <w:rFonts w:ascii="Garamond" w:hAnsi="Garamond"/>
          <w:sz w:val="32"/>
          <w:szCs w:val="32"/>
        </w:rPr>
        <w:footnoteReference w:id="1"/>
      </w:r>
    </w:p>
    <w:p w:rsidR="008C4250" w:rsidRDefault="008C4250" w:rsidP="008C4250">
      <w:pPr>
        <w:spacing w:after="0" w:line="240" w:lineRule="auto"/>
        <w:jc w:val="right"/>
        <w:rPr>
          <w:rFonts w:ascii="Garamond" w:hAnsi="Garamond"/>
          <w:sz w:val="32"/>
          <w:szCs w:val="32"/>
        </w:rPr>
      </w:pPr>
    </w:p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1150"/>
        <w:gridCol w:w="4314"/>
        <w:gridCol w:w="2366"/>
        <w:gridCol w:w="630"/>
      </w:tblGrid>
      <w:tr w:rsidR="003E6231" w:rsidRPr="008C4250" w:rsidTr="009A213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524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4250">
              <w:rPr>
                <w:rFonts w:ascii="Calibri" w:eastAsia="Times New Roman" w:hAnsi="Calibri" w:cs="Calibri"/>
                <w:b/>
                <w:bCs/>
                <w:color w:val="000000"/>
              </w:rPr>
              <w:t>Year 1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231" w:rsidRPr="008C4250" w:rsidTr="009A213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C42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Fall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70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250">
              <w:rPr>
                <w:rFonts w:ascii="Calibri" w:eastAsia="Times New Roman" w:hAnsi="Calibri" w:cs="Calibri"/>
                <w:color w:val="000000"/>
              </w:rPr>
              <w:t>Calculus I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705F76" w:rsidP="008C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General</w:t>
            </w:r>
            <w:r w:rsidR="008C4250" w:rsidRPr="008C4250">
              <w:rPr>
                <w:rFonts w:ascii="Calibri" w:eastAsia="Times New Roman" w:hAnsi="Calibri" w:cs="Calibri"/>
                <w:color w:val="000000"/>
              </w:rPr>
              <w:t xml:space="preserve"> Chemistry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Lab</w:t>
            </w:r>
            <w:r w:rsidR="008C4250" w:rsidRPr="008C4250">
              <w:rPr>
                <w:rFonts w:ascii="Calibri" w:eastAsia="Times New Roman" w:hAnsi="Calibri" w:cs="Calibri"/>
                <w:color w:val="000000"/>
              </w:rPr>
              <w:t xml:space="preserve"> I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250">
              <w:rPr>
                <w:rFonts w:ascii="Calibri" w:eastAsia="Times New Roman" w:hAnsi="Calibri" w:cs="Calibri"/>
                <w:color w:val="000000"/>
              </w:rPr>
              <w:t>Composition I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250">
              <w:rPr>
                <w:rFonts w:ascii="Calibri" w:eastAsia="Times New Roman" w:hAnsi="Calibri" w:cs="Calibri"/>
                <w:color w:val="000000"/>
              </w:rPr>
              <w:t>Economics, Micro- or Macro-</w:t>
            </w:r>
            <w:r w:rsidR="00705F76">
              <w:rPr>
                <w:rStyle w:val="FootnoteReference"/>
                <w:rFonts w:ascii="Calibri" w:eastAsia="Times New Roman" w:hAnsi="Calibri" w:cs="Calibri"/>
                <w:color w:val="000000"/>
              </w:rPr>
              <w:footnoteReference w:id="2"/>
            </w:r>
          </w:p>
        </w:tc>
        <w:tc>
          <w:tcPr>
            <w:tcW w:w="2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250">
              <w:rPr>
                <w:rFonts w:ascii="Calibri" w:eastAsia="Times New Roman" w:hAnsi="Calibri" w:cs="Calibri"/>
                <w:color w:val="000000"/>
              </w:rPr>
              <w:t>Engineering Orientation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C42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Spring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705F76" w:rsidP="0070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Calculus </w:t>
            </w:r>
            <w:r w:rsidR="008C4250" w:rsidRPr="008C4250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705F76" w:rsidP="008C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General Chemistry and Lab</w:t>
            </w:r>
            <w:r w:rsidR="008C4250" w:rsidRPr="008C4250">
              <w:rPr>
                <w:rFonts w:ascii="Calibri" w:eastAsia="Times New Roman" w:hAnsi="Calibri" w:cs="Calibri"/>
                <w:color w:val="000000"/>
              </w:rPr>
              <w:t xml:space="preserve"> II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250">
              <w:rPr>
                <w:rFonts w:ascii="Calibri" w:eastAsia="Times New Roman" w:hAnsi="Calibri" w:cs="Calibri"/>
                <w:color w:val="000000"/>
              </w:rPr>
              <w:t>Composition II</w:t>
            </w:r>
          </w:p>
        </w:tc>
        <w:tc>
          <w:tcPr>
            <w:tcW w:w="2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70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250">
              <w:rPr>
                <w:rFonts w:ascii="Calibri" w:eastAsia="Times New Roman" w:hAnsi="Calibri" w:cs="Calibri"/>
                <w:color w:val="000000"/>
              </w:rPr>
              <w:t>Physics</w:t>
            </w:r>
            <w:r w:rsidR="00705F76">
              <w:rPr>
                <w:rFonts w:ascii="Calibri" w:eastAsia="Times New Roman" w:hAnsi="Calibri" w:cs="Calibri"/>
                <w:color w:val="000000"/>
              </w:rPr>
              <w:t>: Mechanics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231" w:rsidRPr="008C4250" w:rsidTr="009A213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231" w:rsidRPr="008C4250" w:rsidTr="009A213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524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4250">
              <w:rPr>
                <w:rFonts w:ascii="Calibri" w:eastAsia="Times New Roman" w:hAnsi="Calibri" w:cs="Calibri"/>
                <w:b/>
                <w:bCs/>
                <w:color w:val="000000"/>
              </w:rPr>
              <w:t>Year 2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231" w:rsidRPr="008C4250" w:rsidTr="009A2138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C42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Fall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70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250">
              <w:rPr>
                <w:rFonts w:ascii="Calibri" w:eastAsia="Times New Roman" w:hAnsi="Calibri" w:cs="Calibri"/>
                <w:color w:val="000000"/>
              </w:rPr>
              <w:t>Calculus III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705F76" w:rsidP="0070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Physics: Electricity and Magnetism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705F76" w:rsidP="008C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</w:t>
            </w:r>
            <w:r w:rsidR="008C4250" w:rsidRPr="008C4250">
              <w:rPr>
                <w:rFonts w:ascii="Calibri" w:eastAsia="Times New Roman" w:hAnsi="Calibri" w:cs="Calibri"/>
                <w:color w:val="000000"/>
              </w:rPr>
              <w:t xml:space="preserve"> to Computing/Computer Science</w:t>
            </w:r>
          </w:p>
        </w:tc>
        <w:tc>
          <w:tcPr>
            <w:tcW w:w="2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250">
              <w:rPr>
                <w:rFonts w:ascii="Calibri" w:eastAsia="Times New Roman" w:hAnsi="Calibri" w:cs="Calibri"/>
                <w:color w:val="000000"/>
              </w:rPr>
              <w:t>Statics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C42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Spring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250">
              <w:rPr>
                <w:rFonts w:ascii="Calibri" w:eastAsia="Times New Roman" w:hAnsi="Calibri" w:cs="Calibri"/>
                <w:color w:val="000000"/>
              </w:rPr>
              <w:t>Differential Equations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250">
              <w:rPr>
                <w:rFonts w:ascii="Calibri" w:eastAsia="Times New Roman" w:hAnsi="Calibri" w:cs="Calibri"/>
                <w:color w:val="000000"/>
              </w:rPr>
              <w:t>Physics</w:t>
            </w:r>
            <w:r w:rsidR="00705F76">
              <w:rPr>
                <w:rFonts w:ascii="Calibri" w:eastAsia="Times New Roman" w:hAnsi="Calibri" w:cs="Calibri"/>
                <w:color w:val="000000"/>
              </w:rPr>
              <w:t>: Thermal and Quantum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250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3E6231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4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250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0" w:rsidRPr="008C4250" w:rsidRDefault="008C4250" w:rsidP="008C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4250" w:rsidRPr="008C4250" w:rsidRDefault="008C4250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4039" w:rsidRPr="008C4250" w:rsidTr="00705F76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4039" w:rsidRPr="008C4250" w:rsidRDefault="00524039" w:rsidP="005240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39" w:rsidRPr="008C4250" w:rsidRDefault="00524039" w:rsidP="00524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24039">
              <w:rPr>
                <w:rFonts w:eastAsia="Calibri" w:cstheme="minorHAnsi"/>
                <w:position w:val="1"/>
                <w:sz w:val="18"/>
                <w:szCs w:val="18"/>
              </w:rPr>
              <w:t>*major-specific technical courses selected in consultation with advisor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39" w:rsidRPr="008C4250" w:rsidRDefault="00524039" w:rsidP="008C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C4250" w:rsidRPr="008C4250" w:rsidRDefault="008C4250" w:rsidP="008C4250">
      <w:pPr>
        <w:spacing w:after="0" w:line="240" w:lineRule="auto"/>
        <w:jc w:val="right"/>
        <w:rPr>
          <w:rFonts w:ascii="Garamond" w:hAnsi="Garamond"/>
          <w:sz w:val="32"/>
          <w:szCs w:val="32"/>
        </w:rPr>
      </w:pPr>
    </w:p>
    <w:sectPr w:rsidR="008C4250" w:rsidRPr="008C4250" w:rsidSect="00DC7B96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50" w:rsidRDefault="008C4250" w:rsidP="008C4250">
      <w:pPr>
        <w:spacing w:after="0" w:line="240" w:lineRule="auto"/>
      </w:pPr>
      <w:r>
        <w:separator/>
      </w:r>
    </w:p>
  </w:endnote>
  <w:endnote w:type="continuationSeparator" w:id="0">
    <w:p w:rsidR="008C4250" w:rsidRDefault="008C4250" w:rsidP="008C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50" w:rsidRDefault="008C4250" w:rsidP="008C4250">
      <w:pPr>
        <w:spacing w:after="0" w:line="240" w:lineRule="auto"/>
      </w:pPr>
      <w:r>
        <w:separator/>
      </w:r>
    </w:p>
  </w:footnote>
  <w:footnote w:type="continuationSeparator" w:id="0">
    <w:p w:rsidR="008C4250" w:rsidRDefault="008C4250" w:rsidP="008C4250">
      <w:pPr>
        <w:spacing w:after="0" w:line="240" w:lineRule="auto"/>
      </w:pPr>
      <w:r>
        <w:continuationSeparator/>
      </w:r>
    </w:p>
  </w:footnote>
  <w:footnote w:id="1">
    <w:p w:rsidR="00DC7B96" w:rsidRPr="007B5266" w:rsidRDefault="00DC7B96" w:rsidP="003E6231">
      <w:pPr>
        <w:pStyle w:val="FootnoteText"/>
        <w:ind w:right="270"/>
        <w:jc w:val="both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 w:rsidRPr="007B5266">
        <w:rPr>
          <w:rFonts w:ascii="Garamond" w:hAnsi="Garamond"/>
        </w:rPr>
        <w:t xml:space="preserve">Engineering Pathways is a cohort-based experience. As such, </w:t>
      </w:r>
      <w:r w:rsidRPr="00A8422D">
        <w:rPr>
          <w:rFonts w:ascii="Garamond" w:hAnsi="Garamond"/>
        </w:rPr>
        <w:t>all</w:t>
      </w:r>
      <w:r w:rsidRPr="007B5266">
        <w:rPr>
          <w:rFonts w:ascii="Garamond" w:hAnsi="Garamond"/>
        </w:rPr>
        <w:t xml:space="preserve"> technical coursework listed in the plan of study must be completed for a grade while enrolled in the program—this includes chemistry, computer science, </w:t>
      </w:r>
      <w:r>
        <w:rPr>
          <w:rFonts w:ascii="Garamond" w:hAnsi="Garamond"/>
        </w:rPr>
        <w:t>math</w:t>
      </w:r>
      <w:r w:rsidR="00AF565B">
        <w:rPr>
          <w:rFonts w:ascii="Garamond" w:hAnsi="Garamond"/>
        </w:rPr>
        <w:t>ematics</w:t>
      </w:r>
      <w:r w:rsidRPr="007B5266">
        <w:rPr>
          <w:rFonts w:ascii="Garamond" w:hAnsi="Garamond"/>
        </w:rPr>
        <w:t xml:space="preserve">, physics, and engineering. Advanced Placement (AP) </w:t>
      </w:r>
      <w:r>
        <w:rPr>
          <w:rFonts w:ascii="Garamond" w:hAnsi="Garamond"/>
        </w:rPr>
        <w:t xml:space="preserve">or other credit </w:t>
      </w:r>
      <w:r w:rsidRPr="007B5266">
        <w:rPr>
          <w:rFonts w:ascii="Garamond" w:hAnsi="Garamond"/>
        </w:rPr>
        <w:t>applied toward English, e</w:t>
      </w:r>
      <w:r>
        <w:rPr>
          <w:rFonts w:ascii="Garamond" w:hAnsi="Garamond"/>
        </w:rPr>
        <w:t>conomics, and</w:t>
      </w:r>
      <w:r w:rsidRPr="007B5266">
        <w:rPr>
          <w:rFonts w:ascii="Garamond" w:hAnsi="Garamond"/>
        </w:rPr>
        <w:t xml:space="preserve"> liberal education courses requires an appropriate substitution to maintain total number of hours per semester.</w:t>
      </w:r>
    </w:p>
    <w:p w:rsidR="00DC7B96" w:rsidRDefault="00DC7B96" w:rsidP="003E6231">
      <w:pPr>
        <w:pStyle w:val="FootnoteText"/>
        <w:ind w:right="270"/>
        <w:jc w:val="both"/>
      </w:pPr>
    </w:p>
  </w:footnote>
  <w:footnote w:id="2">
    <w:p w:rsidR="00705F76" w:rsidRDefault="00705F76" w:rsidP="00705F76">
      <w:pPr>
        <w:pStyle w:val="FootnoteText"/>
        <w:ind w:right="27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Credit for at least three liberal education courses, including economics, must be earned prior to transfer.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96" w:rsidRDefault="00DC7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50"/>
    <w:rsid w:val="000E08C6"/>
    <w:rsid w:val="002D2AE8"/>
    <w:rsid w:val="00354E32"/>
    <w:rsid w:val="003E6231"/>
    <w:rsid w:val="00524039"/>
    <w:rsid w:val="00705F76"/>
    <w:rsid w:val="007E6EE1"/>
    <w:rsid w:val="007F174D"/>
    <w:rsid w:val="00893542"/>
    <w:rsid w:val="008C4250"/>
    <w:rsid w:val="009A2138"/>
    <w:rsid w:val="00AF565B"/>
    <w:rsid w:val="00D126DE"/>
    <w:rsid w:val="00DC7B96"/>
    <w:rsid w:val="00DE2FF7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FA31D-0099-4499-9DC0-5C55E507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C7B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B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B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B96"/>
  </w:style>
  <w:style w:type="paragraph" w:styleId="Footer">
    <w:name w:val="footer"/>
    <w:basedOn w:val="Normal"/>
    <w:link w:val="FooterChar"/>
    <w:uiPriority w:val="99"/>
    <w:unhideWhenUsed/>
    <w:rsid w:val="00DC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5AB8-D5D5-4784-A1B1-197C91C7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Niehans</dc:creator>
  <cp:keywords/>
  <dc:description/>
  <cp:lastModifiedBy>Niehans, Keri Michelle</cp:lastModifiedBy>
  <cp:revision>3</cp:revision>
  <cp:lastPrinted>2018-04-22T22:00:00Z</cp:lastPrinted>
  <dcterms:created xsi:type="dcterms:W3CDTF">2018-06-18T21:47:00Z</dcterms:created>
  <dcterms:modified xsi:type="dcterms:W3CDTF">2018-06-18T21:56:00Z</dcterms:modified>
</cp:coreProperties>
</file>